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D0F" w:rsidRDefault="00E34D0F" w:rsidP="00E34D0F">
      <w:pPr>
        <w:spacing w:line="360" w:lineRule="auto"/>
        <w:jc w:val="both"/>
        <w:rPr>
          <w:sz w:val="40"/>
        </w:rPr>
      </w:pPr>
    </w:p>
    <w:p w:rsidR="00E34D0F" w:rsidRDefault="00E34D0F" w:rsidP="00E34D0F">
      <w:pPr>
        <w:pStyle w:val="Default"/>
      </w:pPr>
      <w:r>
        <w:rPr>
          <w:noProof/>
          <w:sz w:val="40"/>
          <w:lang w:eastAsia="it-IT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1762125</wp:posOffset>
            </wp:positionH>
            <wp:positionV relativeFrom="margin">
              <wp:posOffset>715617</wp:posOffset>
            </wp:positionV>
            <wp:extent cx="2596515" cy="1767840"/>
            <wp:effectExtent l="0" t="0" r="0" b="381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IT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515" cy="1767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34D0F" w:rsidRDefault="00E34D0F" w:rsidP="00E34D0F">
      <w:pPr>
        <w:pStyle w:val="Default"/>
      </w:pPr>
    </w:p>
    <w:p w:rsidR="00E34D0F" w:rsidRDefault="00E34D0F" w:rsidP="00E34D0F">
      <w:pPr>
        <w:pStyle w:val="Default"/>
      </w:pPr>
    </w:p>
    <w:p w:rsidR="00E34D0F" w:rsidRDefault="00E34D0F" w:rsidP="00E34D0F">
      <w:pPr>
        <w:pStyle w:val="Default"/>
      </w:pPr>
    </w:p>
    <w:p w:rsidR="00E34D0F" w:rsidRDefault="00E34D0F" w:rsidP="00E34D0F">
      <w:pPr>
        <w:pStyle w:val="Default"/>
      </w:pPr>
    </w:p>
    <w:p w:rsidR="00E34D0F" w:rsidRDefault="00E34D0F" w:rsidP="00E34D0F">
      <w:pPr>
        <w:pStyle w:val="Default"/>
      </w:pPr>
    </w:p>
    <w:p w:rsidR="00E34D0F" w:rsidRDefault="00E34D0F" w:rsidP="00E34D0F">
      <w:pPr>
        <w:pStyle w:val="Default"/>
      </w:pPr>
    </w:p>
    <w:p w:rsidR="00E34D0F" w:rsidRDefault="00E34D0F" w:rsidP="00E34D0F">
      <w:pPr>
        <w:pStyle w:val="Default"/>
      </w:pPr>
    </w:p>
    <w:p w:rsidR="00E34D0F" w:rsidRDefault="00E34D0F" w:rsidP="00E34D0F">
      <w:pPr>
        <w:pStyle w:val="Default"/>
      </w:pPr>
    </w:p>
    <w:p w:rsidR="00E34D0F" w:rsidRDefault="00E34D0F" w:rsidP="00E34D0F">
      <w:pPr>
        <w:pStyle w:val="Default"/>
      </w:pPr>
    </w:p>
    <w:p w:rsidR="00E34D0F" w:rsidRDefault="00E34D0F" w:rsidP="00E34D0F">
      <w:pPr>
        <w:pStyle w:val="Default"/>
      </w:pPr>
    </w:p>
    <w:p w:rsidR="00E34D0F" w:rsidRDefault="00E34D0F" w:rsidP="00E34D0F">
      <w:pPr>
        <w:pStyle w:val="Default"/>
      </w:pPr>
    </w:p>
    <w:p w:rsidR="00E34D0F" w:rsidRDefault="001607FA" w:rsidP="00E34D0F">
      <w:pPr>
        <w:pStyle w:val="Default"/>
        <w:jc w:val="center"/>
      </w:pPr>
      <w:r>
        <w:t xml:space="preserve">Il Comitato Insieme per </w:t>
      </w:r>
      <w:proofErr w:type="spellStart"/>
      <w:r>
        <w:t>Tassonarla</w:t>
      </w:r>
      <w:proofErr w:type="spellEnd"/>
      <w:r w:rsidR="00E34D0F">
        <w:t xml:space="preserve"> presenta:</w:t>
      </w:r>
    </w:p>
    <w:p w:rsidR="00E34D0F" w:rsidRDefault="00E34D0F" w:rsidP="00E34D0F">
      <w:pPr>
        <w:pStyle w:val="Default"/>
        <w:jc w:val="center"/>
      </w:pPr>
    </w:p>
    <w:p w:rsidR="00E34D0F" w:rsidRPr="00E34D0F" w:rsidRDefault="00E34D0F" w:rsidP="00E34D0F">
      <w:pPr>
        <w:pStyle w:val="Default"/>
        <w:jc w:val="center"/>
        <w:rPr>
          <w:b/>
          <w:bCs/>
          <w:sz w:val="72"/>
          <w:szCs w:val="28"/>
        </w:rPr>
      </w:pPr>
      <w:proofErr w:type="spellStart"/>
      <w:r w:rsidRPr="00E34D0F">
        <w:rPr>
          <w:b/>
          <w:bCs/>
          <w:sz w:val="72"/>
          <w:szCs w:val="28"/>
        </w:rPr>
        <w:t>TassonArt</w:t>
      </w:r>
      <w:proofErr w:type="spellEnd"/>
      <w:r w:rsidRPr="00E34D0F">
        <w:rPr>
          <w:b/>
          <w:bCs/>
          <w:sz w:val="72"/>
          <w:szCs w:val="28"/>
        </w:rPr>
        <w:t xml:space="preserve"> – Genius loci</w:t>
      </w:r>
    </w:p>
    <w:p w:rsidR="00E34D0F" w:rsidRDefault="00E34D0F" w:rsidP="00E34D0F">
      <w:pPr>
        <w:pStyle w:val="Default"/>
        <w:jc w:val="center"/>
        <w:rPr>
          <w:b/>
          <w:bCs/>
          <w:sz w:val="28"/>
          <w:szCs w:val="28"/>
        </w:rPr>
      </w:pPr>
    </w:p>
    <w:p w:rsidR="00E34D0F" w:rsidRDefault="003177C4" w:rsidP="00E34D0F">
      <w:pPr>
        <w:pStyle w:val="Default"/>
        <w:jc w:val="center"/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w:t xml:space="preserve">III </w:t>
      </w:r>
      <w:r w:rsidR="00E34D0F" w:rsidRPr="00E34D0F">
        <w:rPr>
          <w:b/>
          <w:bCs/>
          <w:sz w:val="32"/>
          <w:szCs w:val="28"/>
        </w:rPr>
        <w:t>Edizione</w:t>
      </w:r>
    </w:p>
    <w:p w:rsidR="00E34D0F" w:rsidRPr="00E34D0F" w:rsidRDefault="00E34D0F" w:rsidP="00E34D0F">
      <w:pPr>
        <w:pStyle w:val="Default"/>
        <w:jc w:val="center"/>
        <w:rPr>
          <w:sz w:val="32"/>
          <w:szCs w:val="28"/>
        </w:rPr>
      </w:pPr>
    </w:p>
    <w:p w:rsidR="00E34D0F" w:rsidRDefault="00045EDD" w:rsidP="00E34D0F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Nell’A</w:t>
      </w:r>
      <w:r w:rsidR="00E34D0F">
        <w:rPr>
          <w:b/>
          <w:bCs/>
          <w:sz w:val="28"/>
          <w:szCs w:val="28"/>
        </w:rPr>
        <w:t>nno delle Radici 2024 istituito dal Ministero degli Affari Esteri</w:t>
      </w:r>
    </w:p>
    <w:p w:rsidR="00E34D0F" w:rsidRDefault="00E34D0F" w:rsidP="00E34D0F">
      <w:pPr>
        <w:pStyle w:val="Default"/>
        <w:jc w:val="center"/>
        <w:rPr>
          <w:b/>
          <w:bCs/>
          <w:sz w:val="28"/>
          <w:szCs w:val="28"/>
        </w:rPr>
      </w:pPr>
    </w:p>
    <w:p w:rsidR="00E34D0F" w:rsidRPr="00E34D0F" w:rsidRDefault="00E34D0F" w:rsidP="00E34D0F">
      <w:pPr>
        <w:pStyle w:val="Default"/>
        <w:jc w:val="center"/>
        <w:rPr>
          <w:b/>
          <w:bCs/>
          <w:sz w:val="40"/>
          <w:szCs w:val="28"/>
        </w:rPr>
      </w:pPr>
      <w:r w:rsidRPr="00E34D0F">
        <w:rPr>
          <w:b/>
          <w:bCs/>
          <w:sz w:val="40"/>
          <w:szCs w:val="28"/>
        </w:rPr>
        <w:t xml:space="preserve">Borgo di </w:t>
      </w:r>
      <w:proofErr w:type="spellStart"/>
      <w:r w:rsidRPr="00E34D0F">
        <w:rPr>
          <w:b/>
          <w:bCs/>
          <w:sz w:val="40"/>
          <w:szCs w:val="28"/>
        </w:rPr>
        <w:t>Tassonarla</w:t>
      </w:r>
      <w:proofErr w:type="spellEnd"/>
      <w:r w:rsidRPr="00E34D0F">
        <w:rPr>
          <w:b/>
          <w:bCs/>
          <w:sz w:val="40"/>
          <w:szCs w:val="28"/>
        </w:rPr>
        <w:t xml:space="preserve"> (MS)</w:t>
      </w:r>
    </w:p>
    <w:p w:rsidR="00E34D0F" w:rsidRPr="00E34D0F" w:rsidRDefault="00E34D0F" w:rsidP="00E34D0F">
      <w:pPr>
        <w:pStyle w:val="Default"/>
        <w:jc w:val="center"/>
        <w:rPr>
          <w:sz w:val="32"/>
          <w:szCs w:val="28"/>
        </w:rPr>
      </w:pPr>
      <w:r w:rsidRPr="00E34D0F">
        <w:rPr>
          <w:b/>
          <w:bCs/>
          <w:sz w:val="40"/>
          <w:szCs w:val="28"/>
        </w:rPr>
        <w:t>26-27-28 luglio 2024</w:t>
      </w:r>
    </w:p>
    <w:p w:rsidR="00E34D0F" w:rsidRDefault="00E34D0F" w:rsidP="00E34D0F">
      <w:pPr>
        <w:pStyle w:val="Default"/>
        <w:jc w:val="center"/>
        <w:rPr>
          <w:sz w:val="28"/>
          <w:szCs w:val="28"/>
        </w:rPr>
      </w:pPr>
    </w:p>
    <w:p w:rsidR="00E34D0F" w:rsidRDefault="00E34D0F" w:rsidP="00E34D0F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Mostra d’arte diffusa a cura di Mattia Lapperier</w:t>
      </w:r>
    </w:p>
    <w:p w:rsidR="00E34D0F" w:rsidRDefault="00E34D0F" w:rsidP="00E34D0F">
      <w:pPr>
        <w:pStyle w:val="Default"/>
        <w:jc w:val="center"/>
        <w:rPr>
          <w:b/>
          <w:bCs/>
          <w:sz w:val="20"/>
          <w:szCs w:val="20"/>
        </w:rPr>
      </w:pPr>
    </w:p>
    <w:p w:rsidR="00E34D0F" w:rsidRDefault="00E34D0F" w:rsidP="00E34D0F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Visitabile tutti i giorni dalle ore 10 alle ore 23</w:t>
      </w:r>
    </w:p>
    <w:p w:rsidR="00E34D0F" w:rsidRDefault="00E34D0F" w:rsidP="00E34D0F">
      <w:pPr>
        <w:pStyle w:val="Default"/>
        <w:jc w:val="center"/>
        <w:rPr>
          <w:b/>
          <w:bCs/>
          <w:sz w:val="28"/>
          <w:szCs w:val="28"/>
        </w:rPr>
      </w:pPr>
    </w:p>
    <w:p w:rsidR="00E34D0F" w:rsidRDefault="00E34D0F" w:rsidP="00E34D0F">
      <w:pPr>
        <w:pStyle w:val="Default"/>
        <w:jc w:val="center"/>
        <w:rPr>
          <w:b/>
          <w:bCs/>
          <w:sz w:val="28"/>
          <w:szCs w:val="28"/>
        </w:rPr>
      </w:pPr>
    </w:p>
    <w:p w:rsidR="00E34D0F" w:rsidRDefault="00E34D0F" w:rsidP="00E34D0F">
      <w:pPr>
        <w:pStyle w:val="Default"/>
        <w:jc w:val="center"/>
        <w:rPr>
          <w:b/>
          <w:bCs/>
          <w:sz w:val="28"/>
          <w:szCs w:val="28"/>
        </w:rPr>
      </w:pPr>
    </w:p>
    <w:p w:rsidR="00E34D0F" w:rsidRDefault="00E34D0F" w:rsidP="00E34D0F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ARTISTI IN MOSTRA:</w:t>
      </w:r>
    </w:p>
    <w:p w:rsidR="00E34D0F" w:rsidRDefault="00E34D0F" w:rsidP="00E34D0F">
      <w:pPr>
        <w:pStyle w:val="Default"/>
        <w:jc w:val="center"/>
        <w:rPr>
          <w:sz w:val="28"/>
          <w:szCs w:val="28"/>
        </w:rPr>
      </w:pPr>
    </w:p>
    <w:p w:rsidR="00DC6AE8" w:rsidRPr="00DC6056" w:rsidRDefault="00DC6AE8" w:rsidP="00DC6AE8">
      <w:pPr>
        <w:spacing w:line="360" w:lineRule="auto"/>
        <w:jc w:val="center"/>
        <w:rPr>
          <w:sz w:val="28"/>
          <w:szCs w:val="28"/>
          <w:u w:val="single"/>
        </w:rPr>
      </w:pPr>
      <w:r w:rsidRPr="00DC6056">
        <w:rPr>
          <w:sz w:val="28"/>
          <w:szCs w:val="28"/>
          <w:u w:val="single"/>
        </w:rPr>
        <w:t xml:space="preserve">Elisa Ceneri – Mattia Cleri </w:t>
      </w:r>
      <w:proofErr w:type="spellStart"/>
      <w:r w:rsidRPr="00DC6056">
        <w:rPr>
          <w:sz w:val="28"/>
          <w:szCs w:val="28"/>
          <w:u w:val="single"/>
        </w:rPr>
        <w:t>Polidori</w:t>
      </w:r>
      <w:proofErr w:type="spellEnd"/>
      <w:r w:rsidRPr="00DC6056">
        <w:rPr>
          <w:sz w:val="28"/>
          <w:szCs w:val="28"/>
          <w:u w:val="single"/>
        </w:rPr>
        <w:t xml:space="preserve"> – </w:t>
      </w:r>
      <w:proofErr w:type="spellStart"/>
      <w:r w:rsidRPr="00DC6056">
        <w:rPr>
          <w:sz w:val="28"/>
          <w:szCs w:val="28"/>
          <w:u w:val="single"/>
        </w:rPr>
        <w:t>Dellaclà</w:t>
      </w:r>
      <w:proofErr w:type="spellEnd"/>
    </w:p>
    <w:p w:rsidR="00DC6AE8" w:rsidRPr="00DC6056" w:rsidRDefault="00DC6AE8" w:rsidP="00DC6AE8">
      <w:pPr>
        <w:spacing w:line="360" w:lineRule="auto"/>
        <w:jc w:val="center"/>
        <w:rPr>
          <w:sz w:val="28"/>
          <w:szCs w:val="28"/>
          <w:u w:val="single"/>
        </w:rPr>
      </w:pPr>
      <w:r w:rsidRPr="00DC6056">
        <w:rPr>
          <w:sz w:val="28"/>
          <w:szCs w:val="28"/>
          <w:u w:val="single"/>
        </w:rPr>
        <w:t>Pietro Desirò – Alessio Manfredi – Giovanni Maranghi</w:t>
      </w:r>
    </w:p>
    <w:p w:rsidR="00DC6AE8" w:rsidRPr="00DC6056" w:rsidRDefault="00DC6AE8" w:rsidP="00DC6AE8">
      <w:pPr>
        <w:spacing w:line="360" w:lineRule="auto"/>
        <w:jc w:val="center"/>
        <w:rPr>
          <w:sz w:val="28"/>
          <w:szCs w:val="28"/>
          <w:u w:val="single"/>
        </w:rPr>
      </w:pPr>
      <w:r w:rsidRPr="00DC6056">
        <w:rPr>
          <w:sz w:val="28"/>
          <w:szCs w:val="28"/>
          <w:u w:val="single"/>
        </w:rPr>
        <w:t>Gualtiero Meloni – Alice Muratore – Simone Negri</w:t>
      </w:r>
    </w:p>
    <w:p w:rsidR="00DC6AE8" w:rsidRPr="00DC6056" w:rsidRDefault="00DC6AE8" w:rsidP="00DC6AE8">
      <w:pPr>
        <w:jc w:val="center"/>
        <w:rPr>
          <w:sz w:val="28"/>
          <w:szCs w:val="28"/>
          <w:u w:val="single"/>
        </w:rPr>
      </w:pPr>
      <w:r w:rsidRPr="00DC6056">
        <w:rPr>
          <w:sz w:val="28"/>
          <w:szCs w:val="28"/>
          <w:u w:val="single"/>
        </w:rPr>
        <w:t xml:space="preserve">Paolo </w:t>
      </w:r>
      <w:proofErr w:type="spellStart"/>
      <w:r w:rsidRPr="00DC6056">
        <w:rPr>
          <w:sz w:val="28"/>
          <w:szCs w:val="28"/>
          <w:u w:val="single"/>
        </w:rPr>
        <w:t>Staccioli</w:t>
      </w:r>
      <w:proofErr w:type="spellEnd"/>
      <w:r w:rsidRPr="00DC6056">
        <w:rPr>
          <w:sz w:val="28"/>
          <w:szCs w:val="28"/>
          <w:u w:val="single"/>
        </w:rPr>
        <w:t xml:space="preserve"> – Matteo </w:t>
      </w:r>
      <w:proofErr w:type="spellStart"/>
      <w:r w:rsidRPr="00DC6056">
        <w:rPr>
          <w:sz w:val="28"/>
          <w:szCs w:val="28"/>
          <w:u w:val="single"/>
        </w:rPr>
        <w:t>Tenardi</w:t>
      </w:r>
      <w:proofErr w:type="spellEnd"/>
      <w:r w:rsidRPr="00DC6056">
        <w:rPr>
          <w:sz w:val="28"/>
          <w:szCs w:val="28"/>
          <w:u w:val="single"/>
        </w:rPr>
        <w:t xml:space="preserve"> – Gianluca </w:t>
      </w:r>
      <w:proofErr w:type="spellStart"/>
      <w:r w:rsidRPr="00DC6056">
        <w:rPr>
          <w:sz w:val="28"/>
          <w:szCs w:val="28"/>
          <w:u w:val="single"/>
        </w:rPr>
        <w:t>Zonza</w:t>
      </w:r>
      <w:proofErr w:type="spellEnd"/>
    </w:p>
    <w:p w:rsidR="00E34D0F" w:rsidRDefault="00E34D0F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br w:type="page"/>
      </w:r>
    </w:p>
    <w:p w:rsidR="00E34D0F" w:rsidRDefault="00E34D0F" w:rsidP="00E34D0F">
      <w:pPr>
        <w:spacing w:line="360" w:lineRule="auto"/>
        <w:jc w:val="both"/>
        <w:rPr>
          <w:sz w:val="28"/>
          <w:szCs w:val="28"/>
          <w:u w:val="single"/>
        </w:rPr>
      </w:pPr>
    </w:p>
    <w:p w:rsidR="00E34D0F" w:rsidRPr="00E34D0F" w:rsidRDefault="00E34D0F" w:rsidP="00E34D0F">
      <w:pPr>
        <w:rPr>
          <w:sz w:val="28"/>
          <w:szCs w:val="28"/>
          <w:u w:val="single"/>
        </w:rPr>
      </w:pPr>
      <w:r>
        <w:rPr>
          <w:noProof/>
          <w:lang w:eastAsia="it-I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760085" cy="5760085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oto tassonart 2024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5760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  <w:u w:val="single"/>
        </w:rPr>
        <w:br w:type="page"/>
      </w:r>
    </w:p>
    <w:p w:rsidR="00E34D0F" w:rsidRDefault="00E34D0F" w:rsidP="00E34D0F">
      <w:pPr>
        <w:spacing w:line="360" w:lineRule="auto"/>
        <w:jc w:val="both"/>
        <w:rPr>
          <w:b/>
          <w:i/>
          <w:sz w:val="32"/>
          <w:u w:val="single"/>
        </w:rPr>
      </w:pPr>
    </w:p>
    <w:p w:rsidR="00E34D0F" w:rsidRDefault="00E34D0F" w:rsidP="00E34D0F">
      <w:pPr>
        <w:spacing w:line="360" w:lineRule="auto"/>
        <w:jc w:val="both"/>
        <w:rPr>
          <w:b/>
          <w:i/>
          <w:sz w:val="32"/>
          <w:u w:val="single"/>
        </w:rPr>
      </w:pPr>
    </w:p>
    <w:p w:rsidR="00E34D0F" w:rsidRDefault="00E34D0F" w:rsidP="00E34D0F">
      <w:pPr>
        <w:spacing w:line="360" w:lineRule="auto"/>
        <w:jc w:val="both"/>
        <w:rPr>
          <w:b/>
          <w:i/>
          <w:sz w:val="32"/>
          <w:u w:val="single"/>
        </w:rPr>
      </w:pPr>
      <w:bookmarkStart w:id="0" w:name="_GoBack"/>
      <w:bookmarkEnd w:id="0"/>
    </w:p>
    <w:p w:rsidR="004178F2" w:rsidRPr="00E34D0F" w:rsidRDefault="00E34D0F" w:rsidP="00E34D0F">
      <w:pPr>
        <w:spacing w:line="360" w:lineRule="auto"/>
        <w:jc w:val="both"/>
        <w:rPr>
          <w:b/>
          <w:i/>
          <w:sz w:val="32"/>
          <w:u w:val="single"/>
        </w:rPr>
      </w:pPr>
      <w:r w:rsidRPr="00E34D0F">
        <w:rPr>
          <w:b/>
          <w:i/>
          <w:sz w:val="32"/>
          <w:u w:val="single"/>
        </w:rPr>
        <w:t>Comunicato stampa</w:t>
      </w:r>
    </w:p>
    <w:p w:rsidR="00343FA0" w:rsidRDefault="00343FA0" w:rsidP="00343FA0"/>
    <w:p w:rsidR="00E34D0F" w:rsidRPr="00343FA0" w:rsidRDefault="00E34D0F" w:rsidP="00343FA0"/>
    <w:p w:rsidR="00343FA0" w:rsidRDefault="001607FA" w:rsidP="00343FA0">
      <w:pPr>
        <w:spacing w:line="360" w:lineRule="auto"/>
        <w:jc w:val="both"/>
      </w:pPr>
      <w:r>
        <w:t xml:space="preserve">Il Comitato Insieme per </w:t>
      </w:r>
      <w:proofErr w:type="spellStart"/>
      <w:r>
        <w:t>Tassonarla</w:t>
      </w:r>
      <w:proofErr w:type="spellEnd"/>
      <w:r w:rsidR="00343FA0">
        <w:t xml:space="preserve">, l’amministrazione comunale di Tresana e le associazioni culturali del territorio proseguono l’opera di riqualificazione urbana e rigenerazione sociale avviata sin dalla prima edizione di </w:t>
      </w:r>
      <w:proofErr w:type="spellStart"/>
      <w:r w:rsidR="00343FA0">
        <w:t>TassonArt</w:t>
      </w:r>
      <w:proofErr w:type="spellEnd"/>
      <w:r w:rsidR="00343FA0">
        <w:t xml:space="preserve">, promuovendo anche per l’estate 2024 quel felice connubio tra arte contemporanea e territorio. </w:t>
      </w:r>
    </w:p>
    <w:p w:rsidR="00343FA0" w:rsidRDefault="00343FA0" w:rsidP="00343FA0">
      <w:pPr>
        <w:spacing w:line="360" w:lineRule="auto"/>
        <w:jc w:val="both"/>
      </w:pPr>
      <w:r>
        <w:t xml:space="preserve">Il </w:t>
      </w:r>
      <w:r w:rsidRPr="00C429FF">
        <w:rPr>
          <w:b/>
        </w:rPr>
        <w:t>26, 27 e 28 luglio 2024</w:t>
      </w:r>
      <w:r>
        <w:t xml:space="preserve"> torna </w:t>
      </w:r>
      <w:proofErr w:type="spellStart"/>
      <w:r w:rsidRPr="00C429FF">
        <w:rPr>
          <w:b/>
        </w:rPr>
        <w:t>TassonArt</w:t>
      </w:r>
      <w:proofErr w:type="spellEnd"/>
      <w:r>
        <w:t xml:space="preserve">, festival diffuso di arte contemporanea, presso il borgo di </w:t>
      </w:r>
      <w:proofErr w:type="spellStart"/>
      <w:r w:rsidRPr="00C429FF">
        <w:rPr>
          <w:b/>
        </w:rPr>
        <w:t>Tassonarla</w:t>
      </w:r>
      <w:proofErr w:type="spellEnd"/>
      <w:r w:rsidRPr="00C429FF">
        <w:rPr>
          <w:b/>
        </w:rPr>
        <w:t>,</w:t>
      </w:r>
      <w:r>
        <w:t xml:space="preserve"> frazione del Comune di Tresana, in provincia di Massa-Carrara. La manifestazio</w:t>
      </w:r>
      <w:r w:rsidR="007D58F2">
        <w:t xml:space="preserve">ne, </w:t>
      </w:r>
      <w:r w:rsidR="007D58F2" w:rsidRPr="00C429FF">
        <w:rPr>
          <w:b/>
        </w:rPr>
        <w:t>a cura di Mattia Lapperier</w:t>
      </w:r>
      <w:r w:rsidR="007D58F2">
        <w:t>,</w:t>
      </w:r>
      <w:r w:rsidR="00E154B8">
        <w:t xml:space="preserve"> </w:t>
      </w:r>
      <w:r w:rsidR="00FE4ABD">
        <w:t>oltre ad aver vinto il bando</w:t>
      </w:r>
      <w:r w:rsidR="007D58F2" w:rsidRPr="007D58F2">
        <w:t xml:space="preserve"> </w:t>
      </w:r>
      <w:r w:rsidR="007D58F2">
        <w:t xml:space="preserve">promosso dal </w:t>
      </w:r>
      <w:r w:rsidR="007D58F2" w:rsidRPr="00C429FF">
        <w:rPr>
          <w:b/>
        </w:rPr>
        <w:t>Ministero degli Affari Esteri</w:t>
      </w:r>
      <w:r w:rsidR="00FE4ABD">
        <w:t xml:space="preserve"> </w:t>
      </w:r>
      <w:r w:rsidR="007D58F2">
        <w:t xml:space="preserve">per la realizzazione di attività culturali </w:t>
      </w:r>
      <w:r w:rsidR="00FE4ABD">
        <w:t xml:space="preserve">nell’Anno delle Radici 2024, </w:t>
      </w:r>
      <w:r w:rsidR="00E154B8">
        <w:t xml:space="preserve">beneficia del doppio patrocinio del </w:t>
      </w:r>
      <w:r w:rsidR="00E154B8" w:rsidRPr="00C429FF">
        <w:rPr>
          <w:b/>
        </w:rPr>
        <w:t>Comune di T</w:t>
      </w:r>
      <w:r w:rsidR="007D58F2" w:rsidRPr="00C429FF">
        <w:rPr>
          <w:b/>
        </w:rPr>
        <w:t>resana</w:t>
      </w:r>
      <w:r w:rsidR="007D58F2">
        <w:t xml:space="preserve"> e della </w:t>
      </w:r>
      <w:r w:rsidR="007D58F2" w:rsidRPr="00C429FF">
        <w:rPr>
          <w:b/>
        </w:rPr>
        <w:t>Regione Toscana</w:t>
      </w:r>
      <w:r w:rsidR="007D58F2">
        <w:t xml:space="preserve">. </w:t>
      </w:r>
      <w:proofErr w:type="spellStart"/>
      <w:r w:rsidR="007D58F2">
        <w:t>TassonArt</w:t>
      </w:r>
      <w:proofErr w:type="spellEnd"/>
      <w:r w:rsidR="007D58F2">
        <w:t xml:space="preserve"> quest’anno </w:t>
      </w:r>
      <w:r>
        <w:t>si dota</w:t>
      </w:r>
      <w:r w:rsidR="007D58F2">
        <w:t xml:space="preserve"> inoltre</w:t>
      </w:r>
      <w:r>
        <w:t xml:space="preserve"> di una specifica linea che individua nel </w:t>
      </w:r>
      <w:r w:rsidRPr="00C429FF">
        <w:rPr>
          <w:b/>
          <w:i/>
        </w:rPr>
        <w:t>Genius loci</w:t>
      </w:r>
      <w:r>
        <w:t xml:space="preserve"> lo spunto di riflessione che ha guidato la scelta degli artisti coinvolti. Elisa Ceneri, Mattia Cleri </w:t>
      </w:r>
      <w:proofErr w:type="spellStart"/>
      <w:r>
        <w:t>Polidori</w:t>
      </w:r>
      <w:proofErr w:type="spellEnd"/>
      <w:r>
        <w:t xml:space="preserve">, </w:t>
      </w:r>
      <w:proofErr w:type="spellStart"/>
      <w:r>
        <w:t>Dellaclà</w:t>
      </w:r>
      <w:proofErr w:type="spellEnd"/>
      <w:r>
        <w:t xml:space="preserve">, Pietro Desirò, Alessio Manfredi, Giovanni Maranghi, Gualtiero Meloni, Alice Muratore, Simone Negri, Paolo </w:t>
      </w:r>
      <w:proofErr w:type="spellStart"/>
      <w:r>
        <w:t>Staccioli</w:t>
      </w:r>
      <w:proofErr w:type="spellEnd"/>
      <w:r>
        <w:t xml:space="preserve">, Matteo </w:t>
      </w:r>
      <w:proofErr w:type="spellStart"/>
      <w:r>
        <w:t>Tenardi</w:t>
      </w:r>
      <w:proofErr w:type="spellEnd"/>
      <w:r>
        <w:t xml:space="preserve"> e Gianluca </w:t>
      </w:r>
      <w:proofErr w:type="spellStart"/>
      <w:r>
        <w:t>Zonza</w:t>
      </w:r>
      <w:proofErr w:type="spellEnd"/>
      <w:r>
        <w:t xml:space="preserve"> si sono infatti misurati sul polisemico concetto di </w:t>
      </w:r>
      <w:r>
        <w:rPr>
          <w:i/>
        </w:rPr>
        <w:t>Genius l</w:t>
      </w:r>
      <w:r w:rsidRPr="003706BD">
        <w:rPr>
          <w:i/>
        </w:rPr>
        <w:t>oci</w:t>
      </w:r>
      <w:r>
        <w:t xml:space="preserve">, ovverosia quel complesso legame tra luogo e persona, che affonda le proprie radici in un tempo lontano e indeterminato. Il </w:t>
      </w:r>
      <w:r w:rsidRPr="003706BD">
        <w:rPr>
          <w:i/>
        </w:rPr>
        <w:t>Genius loci</w:t>
      </w:r>
      <w:r>
        <w:t xml:space="preserve">, locuzione latina che originariamente metteva in correlazione un’entità metafisica (il Genio) e un luogo fisico (un villaggio, una città), in epoca moderna corrisponde all’insieme delle caratteristiche socio-culturali, architettoniche ed espressive che caratterizzano un luogo e lo rendono unico, irripetibile e connotato nel tempo e nello spazio. </w:t>
      </w:r>
      <w:proofErr w:type="spellStart"/>
      <w:r>
        <w:t>TassonArt</w:t>
      </w:r>
      <w:proofErr w:type="spellEnd"/>
      <w:r>
        <w:t xml:space="preserve"> quest’anno intende valorizzare tale legame ancestrale, favorendo così l’emersione di un processo identitario e consolidando al contempo i legami che caratterizzano una comunità. Gli artisti, per mezzo del proprio lavoro, saranno il veicolo attraverso il quale il </w:t>
      </w:r>
      <w:r w:rsidRPr="003706BD">
        <w:rPr>
          <w:i/>
        </w:rPr>
        <w:t>Genius loci</w:t>
      </w:r>
      <w:r>
        <w:t xml:space="preserve"> potrà compiutamente esprimersi. </w:t>
      </w:r>
    </w:p>
    <w:p w:rsidR="00343FA0" w:rsidRDefault="00343FA0" w:rsidP="00343FA0">
      <w:pPr>
        <w:spacing w:line="360" w:lineRule="auto"/>
        <w:jc w:val="both"/>
      </w:pPr>
      <w:r>
        <w:t xml:space="preserve">La cultura, intesa nella sua accezione più vasta e trasversale come complesso di manifestazioni della vita materiale, sociale e spirituale, costruisce ponti, non muri. Valori fondamentali come la condivisione, la tutela del territorio e la piena partecipazione attiva alla costruzione di una comunità </w:t>
      </w:r>
      <w:r>
        <w:lastRenderedPageBreak/>
        <w:t xml:space="preserve">sono fermamente sostenuti da </w:t>
      </w:r>
      <w:proofErr w:type="spellStart"/>
      <w:r>
        <w:t>TassonArt</w:t>
      </w:r>
      <w:proofErr w:type="spellEnd"/>
      <w:r>
        <w:t xml:space="preserve"> e si collocano alla base anche di questa rinnovata edizione 2024.</w:t>
      </w:r>
    </w:p>
    <w:p w:rsidR="00073BD8" w:rsidRDefault="00073BD8" w:rsidP="00343FA0">
      <w:pPr>
        <w:spacing w:line="360" w:lineRule="auto"/>
        <w:jc w:val="both"/>
      </w:pPr>
      <w:r>
        <w:t xml:space="preserve">In concomitanza all’evento sarà presentato il </w:t>
      </w:r>
      <w:r w:rsidRPr="002A6810">
        <w:rPr>
          <w:b/>
        </w:rPr>
        <w:t>catalogo</w:t>
      </w:r>
      <w:r>
        <w:t xml:space="preserve"> edito da </w:t>
      </w:r>
      <w:proofErr w:type="spellStart"/>
      <w:r w:rsidRPr="002A6810">
        <w:rPr>
          <w:b/>
        </w:rPr>
        <w:t>Vanillaedizioni</w:t>
      </w:r>
      <w:proofErr w:type="spellEnd"/>
      <w:r>
        <w:t xml:space="preserve"> contenente il testo critico del curatore, un ricco corredo iconografico e critico</w:t>
      </w:r>
      <w:r w:rsidR="002A6810">
        <w:t xml:space="preserve"> per ciascun artista protagonista dell’evento, nonché</w:t>
      </w:r>
      <w:r>
        <w:t xml:space="preserve"> contenuti multimediali scaricabili </w:t>
      </w:r>
      <w:r w:rsidR="002A6810">
        <w:t>attraverso QR code.</w:t>
      </w:r>
    </w:p>
    <w:p w:rsidR="00273A55" w:rsidRDefault="00343FA0" w:rsidP="007D58F2">
      <w:pPr>
        <w:spacing w:line="360" w:lineRule="auto"/>
        <w:jc w:val="both"/>
      </w:pPr>
      <w:r>
        <w:t xml:space="preserve">Alla mostra diffusa di arte contemporanea è </w:t>
      </w:r>
      <w:r w:rsidR="002A6810">
        <w:t>affiancato un vasto</w:t>
      </w:r>
      <w:r>
        <w:t xml:space="preserve"> programma che comprende presentazioni di libri, laboratori, performance, degustazioni di vini e prodotti tipici della Lunigiana</w:t>
      </w:r>
      <w:r w:rsidR="00EC7A91">
        <w:t>, oltre a</w:t>
      </w:r>
      <w:r>
        <w:t xml:space="preserve"> serate all’insegna d</w:t>
      </w:r>
      <w:r w:rsidR="00EC7A91">
        <w:t>ella</w:t>
      </w:r>
      <w:r>
        <w:t xml:space="preserve"> musica dal vivo.</w:t>
      </w:r>
    </w:p>
    <w:p w:rsidR="00E34D0F" w:rsidRDefault="00E34D0F" w:rsidP="007D58F2">
      <w:pPr>
        <w:spacing w:line="360" w:lineRule="auto"/>
        <w:jc w:val="both"/>
      </w:pPr>
    </w:p>
    <w:p w:rsidR="00E34D0F" w:rsidRDefault="002A6810" w:rsidP="007D58F2">
      <w:pPr>
        <w:spacing w:line="360" w:lineRule="auto"/>
        <w:jc w:val="both"/>
      </w:pP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1753235</wp:posOffset>
            </wp:positionH>
            <wp:positionV relativeFrom="margin">
              <wp:posOffset>2988369</wp:posOffset>
            </wp:positionV>
            <wp:extent cx="1369060" cy="1369060"/>
            <wp:effectExtent l="0" t="0" r="2540" b="254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unione comuni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9060" cy="1369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-8255</wp:posOffset>
            </wp:positionH>
            <wp:positionV relativeFrom="margin">
              <wp:posOffset>2988768</wp:posOffset>
            </wp:positionV>
            <wp:extent cx="1347470" cy="1347470"/>
            <wp:effectExtent l="0" t="0" r="5080" b="508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ministero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7470" cy="1347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34D0F" w:rsidRPr="00E34D0F" w:rsidRDefault="00E34D0F" w:rsidP="00E34D0F"/>
    <w:p w:rsidR="00E34D0F" w:rsidRPr="00E34D0F" w:rsidRDefault="00E34D0F" w:rsidP="00E34D0F"/>
    <w:p w:rsidR="00E34D0F" w:rsidRPr="00E34D0F" w:rsidRDefault="00E34D0F" w:rsidP="00E34D0F"/>
    <w:p w:rsidR="00E34D0F" w:rsidRPr="00E34D0F" w:rsidRDefault="00E34D0F" w:rsidP="00E34D0F"/>
    <w:p w:rsidR="00E34D0F" w:rsidRDefault="00E34D0F" w:rsidP="00E34D0F"/>
    <w:p w:rsidR="00E34D0F" w:rsidRDefault="00E34D0F" w:rsidP="00E34D0F"/>
    <w:p w:rsidR="00E34D0F" w:rsidRDefault="00E34D0F" w:rsidP="00E34D0F"/>
    <w:p w:rsidR="00E34D0F" w:rsidRDefault="00E34D0F" w:rsidP="00E34D0F"/>
    <w:p w:rsidR="00E34D0F" w:rsidRPr="00E34D0F" w:rsidRDefault="002A6810" w:rsidP="00E34D0F">
      <w:r>
        <w:rPr>
          <w:noProof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1242695</wp:posOffset>
            </wp:positionH>
            <wp:positionV relativeFrom="margin">
              <wp:posOffset>5971732</wp:posOffset>
            </wp:positionV>
            <wp:extent cx="2362200" cy="711835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mune di tresana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711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-8255</wp:posOffset>
            </wp:positionH>
            <wp:positionV relativeFrom="margin">
              <wp:posOffset>5964496</wp:posOffset>
            </wp:positionV>
            <wp:extent cx="827405" cy="1381760"/>
            <wp:effectExtent l="0" t="0" r="0" b="8890"/>
            <wp:wrapSquare wrapText="bothSides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logo regione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405" cy="138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4D0F">
        <w:t>Con il patrocinio di:</w:t>
      </w:r>
    </w:p>
    <w:sectPr w:rsidR="00E34D0F" w:rsidRPr="00E34D0F" w:rsidSect="00E34D0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E34"/>
    <w:rsid w:val="00045EDD"/>
    <w:rsid w:val="00073BD8"/>
    <w:rsid w:val="001607FA"/>
    <w:rsid w:val="0019410C"/>
    <w:rsid w:val="002A6810"/>
    <w:rsid w:val="003177C4"/>
    <w:rsid w:val="00343FA0"/>
    <w:rsid w:val="004178F2"/>
    <w:rsid w:val="00576468"/>
    <w:rsid w:val="00795992"/>
    <w:rsid w:val="007D58F2"/>
    <w:rsid w:val="00847E34"/>
    <w:rsid w:val="00A058EC"/>
    <w:rsid w:val="00B30905"/>
    <w:rsid w:val="00C429FF"/>
    <w:rsid w:val="00CA0311"/>
    <w:rsid w:val="00DC6AE8"/>
    <w:rsid w:val="00E154B8"/>
    <w:rsid w:val="00E34D0F"/>
    <w:rsid w:val="00EC7A91"/>
    <w:rsid w:val="00FE4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09EA02-414F-4F96-BC70-1C486B96C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43FA0"/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30905"/>
    <w:pPr>
      <w:keepNext/>
      <w:keepLines/>
      <w:spacing w:before="240" w:after="0"/>
      <w:outlineLvl w:val="0"/>
    </w:pPr>
    <w:rPr>
      <w:rFonts w:eastAsiaTheme="majorEastAsia" w:cstheme="majorBidi"/>
      <w:b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A058EC"/>
    <w:pPr>
      <w:keepNext/>
      <w:keepLines/>
      <w:spacing w:before="40" w:after="0" w:line="360" w:lineRule="auto"/>
      <w:jc w:val="both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A058EC"/>
    <w:rPr>
      <w:rFonts w:ascii="Times New Roman" w:eastAsiaTheme="majorEastAsia" w:hAnsi="Times New Roman" w:cstheme="majorBidi"/>
      <w:b/>
      <w:color w:val="000000" w:themeColor="text1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30905"/>
    <w:rPr>
      <w:rFonts w:ascii="Times New Roman" w:eastAsiaTheme="majorEastAsia" w:hAnsi="Times New Roman" w:cstheme="majorBidi"/>
      <w:b/>
      <w:sz w:val="32"/>
      <w:szCs w:val="3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30905"/>
    <w:pPr>
      <w:numPr>
        <w:ilvl w:val="1"/>
      </w:numPr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30905"/>
    <w:rPr>
      <w:rFonts w:ascii="Times New Roman" w:eastAsiaTheme="minorEastAsia" w:hAnsi="Times New Roman"/>
      <w:color w:val="5A5A5A" w:themeColor="text1" w:themeTint="A5"/>
      <w:spacing w:val="15"/>
    </w:rPr>
  </w:style>
  <w:style w:type="paragraph" w:styleId="Titolo">
    <w:name w:val="Title"/>
    <w:basedOn w:val="Normale"/>
    <w:next w:val="Normale"/>
    <w:link w:val="TitoloCarattere"/>
    <w:uiPriority w:val="10"/>
    <w:qFormat/>
    <w:rsid w:val="00B30905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30905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paragraph" w:customStyle="1" w:styleId="Default">
    <w:name w:val="Default"/>
    <w:rsid w:val="00E34D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4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Mattia Lapperier</dc:creator>
  <cp:keywords/>
  <dc:description/>
  <cp:lastModifiedBy>Mattia Lapperier</cp:lastModifiedBy>
  <cp:revision>15</cp:revision>
  <dcterms:created xsi:type="dcterms:W3CDTF">2024-06-13T14:09:00Z</dcterms:created>
  <dcterms:modified xsi:type="dcterms:W3CDTF">2024-07-01T09:26:00Z</dcterms:modified>
</cp:coreProperties>
</file>