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0B653D" w:rsidRDefault="00000000">
      <w:pPr>
        <w:shd w:val="clear" w:color="auto" w:fill="FFFFFF"/>
        <w:spacing w:after="240"/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</w:pPr>
      <w:r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  <w:t>Mostra: Agalma</w:t>
      </w:r>
    </w:p>
    <w:p w14:paraId="00000002" w14:textId="77777777" w:rsidR="000B653D" w:rsidRDefault="00000000">
      <w:pPr>
        <w:shd w:val="clear" w:color="auto" w:fill="FFFFFF"/>
        <w:spacing w:after="240"/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</w:pPr>
      <w:r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  <w:t>Luogo mostra Agalma: Chiesa di Santa Lucia, Via Antiche Terme, Ferentino.</w:t>
      </w:r>
    </w:p>
    <w:p w14:paraId="00000003" w14:textId="77777777" w:rsidR="000B653D" w:rsidRDefault="00000000">
      <w:pPr>
        <w:shd w:val="clear" w:color="auto" w:fill="FFFFFF"/>
        <w:spacing w:after="240"/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</w:pPr>
      <w:r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  <w:t xml:space="preserve">Date e orari mostra Agalma: 22 - 23 - 24 Settembre dalle 15.00 alle 21.00 </w:t>
      </w:r>
    </w:p>
    <w:p w14:paraId="00000004" w14:textId="77777777" w:rsidR="000B653D" w:rsidRDefault="00000000">
      <w:pPr>
        <w:shd w:val="clear" w:color="auto" w:fill="FFFFFF"/>
        <w:spacing w:after="240"/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</w:pPr>
      <w:r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  <w:t>Performance</w:t>
      </w:r>
      <w:r>
        <w:rPr>
          <w:rFonts w:ascii="EB Garamond" w:eastAsia="EB Garamond" w:hAnsi="EB Garamond" w:cs="EB Garamond"/>
          <w:i/>
          <w:color w:val="212529"/>
          <w:sz w:val="26"/>
          <w:szCs w:val="26"/>
          <w:highlight w:val="white"/>
        </w:rPr>
        <w:t xml:space="preserve"> Rito della tessitura</w:t>
      </w:r>
      <w:r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  <w:t>: 22 - 23 - 24 Settembre ore 16.00 Chiesa di Santa Lucia, Via Antiche Terme, Ferentino.</w:t>
      </w:r>
    </w:p>
    <w:p w14:paraId="00000005" w14:textId="77777777" w:rsidR="000B653D" w:rsidRDefault="000B653D">
      <w:pPr>
        <w:shd w:val="clear" w:color="auto" w:fill="FFFFFF"/>
        <w:spacing w:after="240"/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</w:pPr>
    </w:p>
    <w:p w14:paraId="00000006" w14:textId="77777777" w:rsidR="000B653D" w:rsidRDefault="00000000">
      <w:pPr>
        <w:shd w:val="clear" w:color="auto" w:fill="FFFFFF"/>
        <w:spacing w:after="240"/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</w:pPr>
      <w:r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  <w:t xml:space="preserve">Dal 22 al 24 Settembre sarà presente nella Chiesa di Santa Lucia di Ferentino, la mostra </w:t>
      </w:r>
      <w:r>
        <w:rPr>
          <w:rFonts w:ascii="EB Garamond" w:eastAsia="EB Garamond" w:hAnsi="EB Garamond" w:cs="EB Garamond"/>
          <w:i/>
          <w:color w:val="212529"/>
          <w:sz w:val="26"/>
          <w:szCs w:val="26"/>
          <w:highlight w:val="white"/>
        </w:rPr>
        <w:t>Agalma</w:t>
      </w:r>
      <w:r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  <w:t xml:space="preserve"> con gli artisti: Giampaolo Parrilla, Matteo Gobbo e Danilo Paris; a cura di Chiara Gerpini e in collaborazione con Associazione Donne in Cammino e promossa dall’Associazione Materia Creativa, con il patrocinio del Comune di Ferentino e il Comune di Frosinone. </w:t>
      </w:r>
    </w:p>
    <w:p w14:paraId="00000007" w14:textId="330C3D2A" w:rsidR="000B653D" w:rsidRDefault="00000000">
      <w:pPr>
        <w:shd w:val="clear" w:color="auto" w:fill="FFFFFF"/>
        <w:spacing w:after="240"/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</w:pPr>
      <w:r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  <w:t xml:space="preserve">Il progetto espositivo, inserito nel programma del Festival dell’arte Nomadica, un festival delle arti che mira alla </w:t>
      </w:r>
      <w:r w:rsidR="00CA0C87"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  <w:t xml:space="preserve">valorizzazione </w:t>
      </w:r>
      <w:r>
        <w:rPr>
          <w:rFonts w:ascii="EB Garamond" w:eastAsia="EB Garamond" w:hAnsi="EB Garamond" w:cs="EB Garamond"/>
          <w:color w:val="212529"/>
          <w:sz w:val="26"/>
          <w:szCs w:val="26"/>
          <w:highlight w:val="white"/>
        </w:rPr>
        <w:t xml:space="preserve">culturale di Ferentino, e che trova la direzione artistica di Danilo Paris, sarà connotato da un valore simbiotico, stratificato, organico e complesso.  </w:t>
      </w:r>
    </w:p>
    <w:p w14:paraId="00000008" w14:textId="77777777" w:rsidR="000B653D" w:rsidRDefault="00000000">
      <w:pPr>
        <w:shd w:val="clear" w:color="auto" w:fill="FFFFFF"/>
        <w:spacing w:after="240"/>
        <w:rPr>
          <w:rFonts w:ascii="EB Garamond" w:eastAsia="EB Garamond" w:hAnsi="EB Garamond" w:cs="EB Garamond"/>
          <w:sz w:val="26"/>
          <w:szCs w:val="26"/>
          <w:highlight w:val="white"/>
        </w:rPr>
      </w:pPr>
      <w:r>
        <w:rPr>
          <w:rFonts w:ascii="EB Garamond" w:eastAsia="EB Garamond" w:hAnsi="EB Garamond" w:cs="EB Garamond"/>
          <w:sz w:val="26"/>
          <w:szCs w:val="26"/>
          <w:highlight w:val="white"/>
        </w:rPr>
        <w:t>Ragionando sul concetto di</w:t>
      </w:r>
      <w:r>
        <w:rPr>
          <w:rFonts w:ascii="EB Garamond" w:eastAsia="EB Garamond" w:hAnsi="EB Garamond" w:cs="EB Garamond"/>
          <w:i/>
          <w:sz w:val="26"/>
          <w:szCs w:val="26"/>
          <w:highlight w:val="white"/>
        </w:rPr>
        <w:t xml:space="preserve"> Agalma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t xml:space="preserve">, in prospettiva platonica e lacaniana, ci si riferisce a quest’ultimo come un intreccio di identità e una molteplicità di connotazioni simboliche. </w:t>
      </w:r>
    </w:p>
    <w:p w14:paraId="00000009" w14:textId="77777777" w:rsidR="000B653D" w:rsidRDefault="00000000">
      <w:pPr>
        <w:shd w:val="clear" w:color="auto" w:fill="FFFFFF"/>
        <w:spacing w:after="240"/>
        <w:rPr>
          <w:rFonts w:ascii="EB Garamond" w:eastAsia="EB Garamond" w:hAnsi="EB Garamond" w:cs="EB Garamond"/>
          <w:sz w:val="26"/>
          <w:szCs w:val="26"/>
        </w:rPr>
      </w:pPr>
      <w:r>
        <w:rPr>
          <w:rFonts w:ascii="EB Garamond" w:eastAsia="EB Garamond" w:hAnsi="EB Garamond" w:cs="EB Garamond"/>
          <w:sz w:val="26"/>
          <w:szCs w:val="26"/>
          <w:highlight w:val="white"/>
        </w:rPr>
        <w:t>Mentre Platone considera l’</w:t>
      </w:r>
      <w:r>
        <w:rPr>
          <w:rFonts w:ascii="EB Garamond" w:eastAsia="EB Garamond" w:hAnsi="EB Garamond" w:cs="EB Garamond"/>
          <w:i/>
          <w:sz w:val="26"/>
          <w:szCs w:val="26"/>
          <w:highlight w:val="white"/>
        </w:rPr>
        <w:t>Agalma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t xml:space="preserve"> aldilà della sua natura contestuale di oggetto fisico, per esprimere un’idea di assoluta profondità, riguardante l’amore e la ricerca della verità, associandolo dunque a un </w:t>
      </w:r>
      <w:r>
        <w:rPr>
          <w:rFonts w:ascii="EB Garamond" w:eastAsia="EB Garamond" w:hAnsi="EB Garamond" w:cs="EB Garamond"/>
          <w:i/>
          <w:sz w:val="26"/>
          <w:szCs w:val="26"/>
          <w:highlight w:val="white"/>
        </w:rPr>
        <w:t>oggetto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t xml:space="preserve"> morale, capace di riflettere o rappresentare qualcosa di prezioso e significativo nell’esperienza umana. </w:t>
      </w:r>
    </w:p>
    <w:p w14:paraId="0000000A" w14:textId="77777777" w:rsidR="000B653D" w:rsidRDefault="00000000">
      <w:pPr>
        <w:shd w:val="clear" w:color="auto" w:fill="FFFFFF"/>
        <w:spacing w:after="240"/>
        <w:rPr>
          <w:rFonts w:ascii="EB Garamond" w:eastAsia="EB Garamond" w:hAnsi="EB Garamond" w:cs="EB Garamond"/>
          <w:sz w:val="26"/>
          <w:szCs w:val="26"/>
        </w:rPr>
      </w:pPr>
      <w:r>
        <w:rPr>
          <w:rFonts w:ascii="EB Garamond" w:eastAsia="EB Garamond" w:hAnsi="EB Garamond" w:cs="EB Garamond"/>
          <w:sz w:val="26"/>
          <w:szCs w:val="26"/>
          <w:highlight w:val="white"/>
        </w:rPr>
        <w:t>Per Jacques Lacan,</w:t>
      </w:r>
      <w:r>
        <w:rPr>
          <w:rFonts w:ascii="EB Garamond" w:eastAsia="EB Garamond" w:hAnsi="EB Garamond" w:cs="EB Garamond"/>
          <w:sz w:val="26"/>
          <w:szCs w:val="26"/>
        </w:rPr>
        <w:t xml:space="preserve"> l'</w:t>
      </w:r>
      <w:r>
        <w:rPr>
          <w:rFonts w:ascii="EB Garamond" w:eastAsia="EB Garamond" w:hAnsi="EB Garamond" w:cs="EB Garamond"/>
          <w:i/>
          <w:sz w:val="26"/>
          <w:szCs w:val="26"/>
        </w:rPr>
        <w:t xml:space="preserve">Agalma </w:t>
      </w:r>
      <w:r>
        <w:rPr>
          <w:rFonts w:ascii="EB Garamond" w:eastAsia="EB Garamond" w:hAnsi="EB Garamond" w:cs="EB Garamond"/>
          <w:sz w:val="26"/>
          <w:szCs w:val="26"/>
        </w:rPr>
        <w:t>è un concetto più complesso e ambivalente; nella sua analisi l’Agalma viene codificato come l’oggetto del desiderio, ovvero come una mancanza nell’individuo, in grado di suscitare un’attrazione tale da stimolare la ricerca di esso all'esterno dell’</w:t>
      </w:r>
      <w:r>
        <w:rPr>
          <w:rFonts w:ascii="EB Garamond" w:eastAsia="EB Garamond" w:hAnsi="EB Garamond" w:cs="EB Garamond"/>
          <w:i/>
          <w:sz w:val="26"/>
          <w:szCs w:val="26"/>
        </w:rPr>
        <w:t>io</w:t>
      </w:r>
      <w:r>
        <w:rPr>
          <w:rFonts w:ascii="EB Garamond" w:eastAsia="EB Garamond" w:hAnsi="EB Garamond" w:cs="EB Garamond"/>
          <w:sz w:val="26"/>
          <w:szCs w:val="26"/>
        </w:rPr>
        <w:t xml:space="preserve"> e dunque nella relazione con l’altro. </w:t>
      </w:r>
    </w:p>
    <w:p w14:paraId="0000000B" w14:textId="77777777" w:rsidR="000B653D" w:rsidRDefault="0000000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pacing w:before="300" w:after="300"/>
        <w:rPr>
          <w:rFonts w:ascii="EB Garamond" w:eastAsia="EB Garamond" w:hAnsi="EB Garamond" w:cs="EB Garamond"/>
          <w:sz w:val="26"/>
          <w:szCs w:val="26"/>
          <w:highlight w:val="white"/>
        </w:rPr>
      </w:pPr>
      <w:r>
        <w:rPr>
          <w:rFonts w:ascii="EB Garamond" w:eastAsia="EB Garamond" w:hAnsi="EB Garamond" w:cs="EB Garamond"/>
          <w:sz w:val="26"/>
          <w:szCs w:val="26"/>
          <w:highlight w:val="white"/>
        </w:rPr>
        <w:t>Queste direzioni semantiche infatti sono associate alle opere dei tre artisti come una ricerca di affinità dialettiche che convergono in una struttura composta da spazi e oggetti relazionali. Il continuo confronto dialogico si articolerà tra l’opera sonora di Paris, dove l’atto del perdono e i legami fraterni verranno trasmessi tramite un racconto immaginifico, la</w:t>
      </w:r>
      <w:r>
        <w:rPr>
          <w:rFonts w:ascii="EB Garamond" w:eastAsia="EB Garamond" w:hAnsi="EB Garamond" w:cs="EB Garamond"/>
          <w:b/>
          <w:sz w:val="26"/>
          <w:szCs w:val="26"/>
          <w:highlight w:val="white"/>
        </w:rPr>
        <w:t xml:space="preserve"> 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t>video - installazione di Matteo Gobbo in cui</w:t>
      </w:r>
      <w:r>
        <w:rPr>
          <w:rFonts w:ascii="EB Garamond" w:eastAsia="EB Garamond" w:hAnsi="EB Garamond" w:cs="EB Garamond"/>
          <w:b/>
          <w:sz w:val="26"/>
          <w:szCs w:val="26"/>
          <w:highlight w:val="white"/>
        </w:rPr>
        <w:t xml:space="preserve"> 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t xml:space="preserve">la rilettura dell’antica pratica 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lastRenderedPageBreak/>
        <w:t xml:space="preserve">dell’ornitomanzia, si configurerà in un intreccio di rimandi storico-biblici, l’interazione caotica degli elementi e le fluttuazioni dei sistemi complessi e nella </w:t>
      </w:r>
      <w:r>
        <w:rPr>
          <w:rFonts w:ascii="EB Garamond" w:eastAsia="EB Garamond" w:hAnsi="EB Garamond" w:cs="EB Garamond"/>
          <w:sz w:val="26"/>
          <w:szCs w:val="26"/>
        </w:rPr>
        <w:t xml:space="preserve">struttura di Parrilla, opera mutevole che sarà portata a termine nella Chiesa di Santa Lucia, tramite la performance del </w:t>
      </w:r>
      <w:r>
        <w:rPr>
          <w:rFonts w:ascii="EB Garamond" w:eastAsia="EB Garamond" w:hAnsi="EB Garamond" w:cs="EB Garamond"/>
          <w:i/>
          <w:sz w:val="26"/>
          <w:szCs w:val="26"/>
        </w:rPr>
        <w:t>Rito della tessitura</w:t>
      </w:r>
      <w:r>
        <w:rPr>
          <w:rFonts w:ascii="EB Garamond" w:eastAsia="EB Garamond" w:hAnsi="EB Garamond" w:cs="EB Garamond"/>
          <w:sz w:val="26"/>
          <w:szCs w:val="26"/>
        </w:rPr>
        <w:t>, e che rappresenterà il costante ciclo della vita e della morte.</w:t>
      </w:r>
    </w:p>
    <w:p w14:paraId="0000000C" w14:textId="77777777" w:rsidR="000B653D" w:rsidRDefault="0000000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pacing w:before="300" w:after="300"/>
        <w:rPr>
          <w:rFonts w:ascii="EB Garamond" w:eastAsia="EB Garamond" w:hAnsi="EB Garamond" w:cs="EB Garamond"/>
          <w:sz w:val="26"/>
          <w:szCs w:val="26"/>
          <w:highlight w:val="white"/>
        </w:rPr>
      </w:pPr>
      <w:r>
        <w:rPr>
          <w:rFonts w:ascii="EB Garamond" w:eastAsia="EB Garamond" w:hAnsi="EB Garamond" w:cs="EB Garamond"/>
          <w:sz w:val="26"/>
          <w:szCs w:val="26"/>
          <w:highlight w:val="white"/>
        </w:rPr>
        <w:t>Come l’</w:t>
      </w:r>
      <w:r>
        <w:rPr>
          <w:rFonts w:ascii="EB Garamond" w:eastAsia="EB Garamond" w:hAnsi="EB Garamond" w:cs="EB Garamond"/>
          <w:i/>
          <w:sz w:val="26"/>
          <w:szCs w:val="26"/>
          <w:highlight w:val="white"/>
        </w:rPr>
        <w:t xml:space="preserve">Agalma 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t>che agisce nelle complessità e le ambivalenze delle pulsioni umane, un oggetto che è oltremodo sfuggente e che genera tensioni e</w:t>
      </w:r>
      <w:r>
        <w:rPr>
          <w:rFonts w:ascii="EB Garamond" w:eastAsia="EB Garamond" w:hAnsi="EB Garamond" w:cs="EB Garamond"/>
          <w:b/>
          <w:sz w:val="26"/>
          <w:szCs w:val="26"/>
          <w:highlight w:val="white"/>
        </w:rPr>
        <w:t xml:space="preserve"> 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t>desideri insoddisfatti, anche nelle indagini di Gobbo, Parrilla e Paris, esistono legami e interazioni riconducibili alle</w:t>
      </w:r>
      <w:r>
        <w:rPr>
          <w:rFonts w:ascii="EB Garamond" w:eastAsia="EB Garamond" w:hAnsi="EB Garamond" w:cs="EB Garamond"/>
          <w:b/>
          <w:sz w:val="26"/>
          <w:szCs w:val="26"/>
          <w:highlight w:val="white"/>
        </w:rPr>
        <w:t xml:space="preserve"> 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t>tensioni, i</w:t>
      </w:r>
      <w:r>
        <w:rPr>
          <w:rFonts w:ascii="EB Garamond" w:eastAsia="EB Garamond" w:hAnsi="EB Garamond" w:cs="EB Garamond"/>
          <w:b/>
          <w:sz w:val="26"/>
          <w:szCs w:val="26"/>
          <w:highlight w:val="white"/>
        </w:rPr>
        <w:t xml:space="preserve"> 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t xml:space="preserve">desideri e agli impulsi inconsci. Come nei sistemi complessi ciò che alimenta il </w:t>
      </w:r>
      <w:r>
        <w:rPr>
          <w:rFonts w:ascii="EB Garamond" w:eastAsia="EB Garamond" w:hAnsi="EB Garamond" w:cs="EB Garamond"/>
          <w:i/>
          <w:sz w:val="26"/>
          <w:szCs w:val="26"/>
          <w:highlight w:val="white"/>
        </w:rPr>
        <w:t>caos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t xml:space="preserve"> è l’interazione non lineare tra le parti che permette di far emergere forme di bellezza che arricchiscono la comprensione del mondo. </w:t>
      </w:r>
    </w:p>
    <w:p w14:paraId="0000000D" w14:textId="77777777" w:rsidR="000B653D" w:rsidRDefault="0000000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pacing w:before="300" w:after="300"/>
        <w:rPr>
          <w:rFonts w:ascii="EB Garamond" w:eastAsia="EB Garamond" w:hAnsi="EB Garamond" w:cs="EB Garamond"/>
          <w:sz w:val="26"/>
          <w:szCs w:val="26"/>
          <w:highlight w:val="white"/>
        </w:rPr>
      </w:pPr>
      <w:r>
        <w:rPr>
          <w:rFonts w:ascii="EB Garamond" w:eastAsia="EB Garamond" w:hAnsi="EB Garamond" w:cs="EB Garamond"/>
          <w:sz w:val="26"/>
          <w:szCs w:val="26"/>
          <w:highlight w:val="white"/>
        </w:rPr>
        <w:t>Riflettere sull’</w:t>
      </w:r>
      <w:r>
        <w:rPr>
          <w:rFonts w:ascii="EB Garamond" w:eastAsia="EB Garamond" w:hAnsi="EB Garamond" w:cs="EB Garamond"/>
          <w:i/>
          <w:sz w:val="26"/>
          <w:szCs w:val="26"/>
          <w:highlight w:val="white"/>
        </w:rPr>
        <w:t xml:space="preserve">Agalma </w:t>
      </w:r>
      <w:r>
        <w:rPr>
          <w:rFonts w:ascii="EB Garamond" w:eastAsia="EB Garamond" w:hAnsi="EB Garamond" w:cs="EB Garamond"/>
          <w:sz w:val="26"/>
          <w:szCs w:val="26"/>
          <w:highlight w:val="white"/>
        </w:rPr>
        <w:t xml:space="preserve">significa quindi riflettere sulle identità e sulle relazioni, in modo da osservare e codificare l’altro come nutrimento per l’anima. </w:t>
      </w:r>
    </w:p>
    <w:p w14:paraId="0000000E" w14:textId="77777777" w:rsidR="000B653D" w:rsidRDefault="00000000">
      <w:r>
        <w:t xml:space="preserve"> </w:t>
      </w:r>
    </w:p>
    <w:sectPr w:rsidR="000B653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1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53D"/>
    <w:rsid w:val="000B653D"/>
    <w:rsid w:val="00CA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A6A2D"/>
  <w15:docId w15:val="{F4E40616-6D2D-4B99-A80D-C8959A404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Chiara Gerpini</cp:lastModifiedBy>
  <cp:revision>2</cp:revision>
  <dcterms:created xsi:type="dcterms:W3CDTF">2023-09-10T21:17:00Z</dcterms:created>
  <dcterms:modified xsi:type="dcterms:W3CDTF">2023-09-10T21:18:00Z</dcterms:modified>
</cp:coreProperties>
</file>